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40568700" w:edGrp="everyone"/>
      <w:r w:rsidRPr="0046372D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6372D">
        <w:rPr>
          <w:sz w:val="24"/>
          <w:szCs w:val="24"/>
        </w:rPr>
        <w:tab/>
      </w:r>
      <w:r w:rsidRPr="0046372D">
        <w:rPr>
          <w:sz w:val="24"/>
          <w:szCs w:val="24"/>
        </w:rPr>
        <w:tab/>
      </w:r>
      <w:r w:rsidR="00342023" w:rsidRPr="0046372D">
        <w:rPr>
          <w:rFonts w:ascii="Century Gothic" w:hAnsi="Century Gothic"/>
          <w:sz w:val="24"/>
          <w:szCs w:val="24"/>
        </w:rPr>
        <w:t>Conforme al artículo</w:t>
      </w:r>
      <w:r w:rsidRPr="0046372D">
        <w:rPr>
          <w:rFonts w:ascii="Century Gothic" w:hAnsi="Century Gothic"/>
          <w:sz w:val="24"/>
          <w:szCs w:val="24"/>
        </w:rPr>
        <w:t xml:space="preserve"> 21</w:t>
      </w:r>
      <w:r w:rsidR="00342023" w:rsidRPr="0046372D">
        <w:rPr>
          <w:rFonts w:ascii="Century Gothic" w:hAnsi="Century Gothic"/>
          <w:sz w:val="24"/>
          <w:szCs w:val="24"/>
        </w:rPr>
        <w:t xml:space="preserve"> fracción IV</w:t>
      </w:r>
      <w:r w:rsidRPr="0046372D">
        <w:rPr>
          <w:rFonts w:ascii="Century Gothic" w:hAnsi="Century Gothic"/>
          <w:sz w:val="24"/>
          <w:szCs w:val="24"/>
        </w:rPr>
        <w:t xml:space="preserve"> del Reglam</w:t>
      </w:r>
      <w:r w:rsidR="00342023" w:rsidRPr="0046372D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46372D">
        <w:rPr>
          <w:rFonts w:ascii="Century Gothic" w:hAnsi="Century Gothic"/>
          <w:sz w:val="24"/>
          <w:szCs w:val="24"/>
        </w:rPr>
        <w:t xml:space="preserve">, se convoca a la </w:t>
      </w:r>
      <w:r w:rsidR="00B81C29">
        <w:rPr>
          <w:rFonts w:ascii="Century Gothic" w:hAnsi="Century Gothic"/>
          <w:b/>
          <w:sz w:val="24"/>
          <w:szCs w:val="24"/>
        </w:rPr>
        <w:t>Quin</w:t>
      </w:r>
      <w:r w:rsidR="00935F7D">
        <w:rPr>
          <w:rFonts w:ascii="Century Gothic" w:hAnsi="Century Gothic"/>
          <w:b/>
          <w:sz w:val="24"/>
          <w:szCs w:val="24"/>
        </w:rPr>
        <w:t>ta</w:t>
      </w:r>
      <w:r w:rsidR="00707E83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46372D">
        <w:rPr>
          <w:rFonts w:ascii="Century Gothic" w:hAnsi="Century Gothic"/>
          <w:sz w:val="24"/>
          <w:szCs w:val="24"/>
        </w:rPr>
        <w:t xml:space="preserve"> del</w:t>
      </w:r>
      <w:r w:rsidRPr="0046372D">
        <w:rPr>
          <w:rFonts w:ascii="Century Gothic" w:hAnsi="Century Gothic"/>
          <w:sz w:val="24"/>
          <w:szCs w:val="24"/>
        </w:rPr>
        <w:t xml:space="preserve"> </w:t>
      </w:r>
      <w:r w:rsidR="00E96A55" w:rsidRPr="0046372D">
        <w:rPr>
          <w:rFonts w:ascii="Century Gothic" w:hAnsi="Century Gothic"/>
          <w:sz w:val="24"/>
          <w:szCs w:val="24"/>
        </w:rPr>
        <w:t xml:space="preserve">año </w:t>
      </w:r>
      <w:r w:rsidR="000A544F">
        <w:rPr>
          <w:rFonts w:ascii="Century Gothic" w:hAnsi="Century Gothic"/>
          <w:sz w:val="24"/>
          <w:szCs w:val="24"/>
        </w:rPr>
        <w:t>2019 dos mil diecinueve</w:t>
      </w:r>
      <w:r w:rsidRPr="0046372D">
        <w:rPr>
          <w:rFonts w:ascii="Century Gothic" w:hAnsi="Century Gothic"/>
          <w:sz w:val="24"/>
          <w:szCs w:val="24"/>
        </w:rPr>
        <w:t xml:space="preserve">, que tendrá verificativo a las </w:t>
      </w:r>
      <w:r w:rsidR="00935F7D">
        <w:rPr>
          <w:rFonts w:ascii="Century Gothic" w:hAnsi="Century Gothic"/>
          <w:b/>
          <w:sz w:val="24"/>
          <w:szCs w:val="24"/>
        </w:rPr>
        <w:t>14</w:t>
      </w:r>
      <w:r w:rsidR="00283059" w:rsidRPr="0046372D">
        <w:rPr>
          <w:rFonts w:ascii="Century Gothic" w:hAnsi="Century Gothic"/>
          <w:b/>
          <w:sz w:val="24"/>
          <w:szCs w:val="24"/>
        </w:rPr>
        <w:t>:0</w:t>
      </w:r>
      <w:r w:rsidR="00F54CC3" w:rsidRPr="0046372D">
        <w:rPr>
          <w:rFonts w:ascii="Century Gothic" w:hAnsi="Century Gothic"/>
          <w:b/>
          <w:sz w:val="24"/>
          <w:szCs w:val="24"/>
        </w:rPr>
        <w:t xml:space="preserve">0 </w:t>
      </w:r>
      <w:r w:rsidR="00935F7D">
        <w:rPr>
          <w:rFonts w:ascii="Century Gothic" w:hAnsi="Century Gothic"/>
          <w:b/>
          <w:sz w:val="24"/>
          <w:szCs w:val="24"/>
        </w:rPr>
        <w:t>catorce</w:t>
      </w:r>
      <w:r w:rsidRPr="0046372D">
        <w:rPr>
          <w:rFonts w:ascii="Century Gothic" w:hAnsi="Century Gothic"/>
          <w:b/>
          <w:sz w:val="24"/>
          <w:szCs w:val="24"/>
        </w:rPr>
        <w:t xml:space="preserve"> horas</w:t>
      </w:r>
      <w:r w:rsidR="00E45269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el día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="00B81C29">
        <w:rPr>
          <w:rFonts w:ascii="Century Gothic" w:hAnsi="Century Gothic"/>
          <w:b/>
          <w:sz w:val="24"/>
          <w:szCs w:val="24"/>
        </w:rPr>
        <w:t>25 veinticinco</w:t>
      </w:r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46372D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46372D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C65C5" w:rsidRDefault="00D300CB" w:rsidP="000C65C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1085</w:t>
      </w:r>
      <w:r w:rsidR="000C65C5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</w:t>
      </w:r>
      <w:r w:rsidR="000C65C5">
        <w:rPr>
          <w:rFonts w:ascii="Century Gothic" w:hAnsi="Century Gothic"/>
          <w:b w:val="0"/>
          <w:sz w:val="24"/>
          <w:szCs w:val="24"/>
        </w:rPr>
        <w:t>19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que remite el Secretario de Acuerdos del </w:t>
      </w:r>
      <w:r>
        <w:rPr>
          <w:rFonts w:ascii="Century Gothic" w:hAnsi="Century Gothic"/>
          <w:b w:val="0"/>
          <w:sz w:val="24"/>
          <w:szCs w:val="24"/>
        </w:rPr>
        <w:t>Tercer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</w:t>
      </w:r>
      <w:r w:rsidR="000C65C5">
        <w:rPr>
          <w:rFonts w:ascii="Century Gothic" w:hAnsi="Century Gothic"/>
          <w:b w:val="0"/>
          <w:sz w:val="24"/>
          <w:szCs w:val="24"/>
        </w:rPr>
        <w:t>v</w:t>
      </w:r>
      <w:r>
        <w:rPr>
          <w:rFonts w:ascii="Century Gothic" w:hAnsi="Century Gothic"/>
          <w:b w:val="0"/>
          <w:sz w:val="24"/>
          <w:szCs w:val="24"/>
        </w:rPr>
        <w:t>o al Juicio de Amparo número 189</w:t>
      </w:r>
      <w:r w:rsidR="000C65C5">
        <w:rPr>
          <w:rFonts w:ascii="Century Gothic" w:hAnsi="Century Gothic"/>
          <w:b w:val="0"/>
          <w:sz w:val="24"/>
          <w:szCs w:val="24"/>
        </w:rPr>
        <w:t>/2017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recibido el día </w:t>
      </w:r>
      <w:r>
        <w:rPr>
          <w:rFonts w:ascii="Century Gothic" w:hAnsi="Century Gothic"/>
          <w:b w:val="0"/>
          <w:sz w:val="24"/>
          <w:szCs w:val="24"/>
        </w:rPr>
        <w:t>22 veintidós</w:t>
      </w:r>
      <w:r w:rsidR="000C65C5">
        <w:rPr>
          <w:rFonts w:ascii="Century Gothic" w:hAnsi="Century Gothic"/>
          <w:b w:val="0"/>
          <w:sz w:val="24"/>
          <w:szCs w:val="24"/>
        </w:rPr>
        <w:t xml:space="preserve"> de enero del presente año, mediante el cual</w:t>
      </w:r>
      <w:r w:rsidR="000C65C5" w:rsidRPr="0046372D">
        <w:rPr>
          <w:rFonts w:ascii="Century Gothic" w:hAnsi="Century Gothic"/>
          <w:b w:val="0"/>
          <w:sz w:val="24"/>
          <w:szCs w:val="24"/>
        </w:rPr>
        <w:t xml:space="preserve"> requiere a este Tribunal por el cumpli</w:t>
      </w:r>
      <w:r w:rsidR="000C65C5">
        <w:rPr>
          <w:rFonts w:ascii="Century Gothic" w:hAnsi="Century Gothic"/>
          <w:b w:val="0"/>
          <w:sz w:val="24"/>
          <w:szCs w:val="24"/>
        </w:rPr>
        <w:t>miento de la ejecutoria del juicio de amparo referido</w:t>
      </w:r>
      <w:r w:rsidR="000C65C5" w:rsidRPr="0046372D">
        <w:rPr>
          <w:rFonts w:ascii="Century Gothic" w:hAnsi="Century Gothic"/>
          <w:b w:val="0"/>
          <w:sz w:val="24"/>
          <w:szCs w:val="24"/>
        </w:rPr>
        <w:t>.</w:t>
      </w:r>
    </w:p>
    <w:p w:rsidR="00C04B3E" w:rsidRDefault="000C65C5" w:rsidP="000C65C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C65C5">
        <w:rPr>
          <w:rFonts w:ascii="Century Gothic" w:hAnsi="Century Gothic"/>
          <w:b w:val="0"/>
          <w:sz w:val="24"/>
          <w:szCs w:val="24"/>
        </w:rPr>
        <w:t>Análisis, discusión y en su caso aprobación del proyecto de se</w:t>
      </w:r>
      <w:r w:rsidR="00D300CB">
        <w:rPr>
          <w:rFonts w:ascii="Century Gothic" w:hAnsi="Century Gothic"/>
          <w:b w:val="0"/>
          <w:sz w:val="24"/>
          <w:szCs w:val="24"/>
        </w:rPr>
        <w:t>ntencia del expediente 3</w:t>
      </w:r>
      <w:r>
        <w:rPr>
          <w:rFonts w:ascii="Century Gothic" w:hAnsi="Century Gothic"/>
          <w:b w:val="0"/>
          <w:sz w:val="24"/>
          <w:szCs w:val="24"/>
        </w:rPr>
        <w:t>04</w:t>
      </w:r>
      <w:r w:rsidRPr="000C65C5">
        <w:rPr>
          <w:rFonts w:ascii="Century Gothic" w:hAnsi="Century Gothic"/>
          <w:b w:val="0"/>
          <w:sz w:val="24"/>
          <w:szCs w:val="24"/>
        </w:rPr>
        <w:t>/2017, Recurso de Apelación derivad</w:t>
      </w:r>
      <w:r w:rsidR="00D300CB">
        <w:rPr>
          <w:rFonts w:ascii="Century Gothic" w:hAnsi="Century Gothic"/>
          <w:b w:val="0"/>
          <w:sz w:val="24"/>
          <w:szCs w:val="24"/>
        </w:rPr>
        <w:t>o del Juicio Administrativo 143/2014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del ín</w:t>
      </w:r>
      <w:r w:rsidR="00D300CB">
        <w:rPr>
          <w:rFonts w:ascii="Century Gothic" w:hAnsi="Century Gothic"/>
          <w:b w:val="0"/>
          <w:sz w:val="24"/>
          <w:szCs w:val="24"/>
        </w:rPr>
        <w:t>dice de la Tercera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</w:t>
      </w:r>
      <w:r w:rsidR="00D300CB">
        <w:rPr>
          <w:rFonts w:ascii="Century Gothic" w:hAnsi="Century Gothic"/>
          <w:b w:val="0"/>
          <w:sz w:val="24"/>
          <w:szCs w:val="24"/>
        </w:rPr>
        <w:t>limiento al Juicio de Amparo 189/2017 del Tercer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0C65C5" w:rsidRPr="000C65C5" w:rsidRDefault="000C65C5" w:rsidP="000C65C5">
      <w:pPr>
        <w:pStyle w:val="Sangradetextonormal"/>
        <w:ind w:left="357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</w:r>
    </w:p>
    <w:p w:rsidR="00C04B3E" w:rsidRPr="0046372D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46372D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46372D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D300CB">
        <w:rPr>
          <w:rFonts w:ascii="Century Gothic" w:hAnsi="Century Gothic"/>
          <w:b/>
          <w:sz w:val="24"/>
          <w:szCs w:val="24"/>
        </w:rPr>
        <w:t>24</w:t>
      </w:r>
      <w:bookmarkStart w:id="0" w:name="_GoBack"/>
      <w:bookmarkEnd w:id="0"/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46372D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46372D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Pr="0046372D" w:rsidRDefault="00613A45" w:rsidP="00C04B3E">
      <w:pPr>
        <w:spacing w:after="0"/>
        <w:rPr>
          <w:sz w:val="24"/>
          <w:szCs w:val="24"/>
        </w:rPr>
      </w:pPr>
    </w:p>
    <w:p w:rsidR="00B80527" w:rsidRPr="0046372D" w:rsidRDefault="00B80527" w:rsidP="00C04B3E">
      <w:pPr>
        <w:spacing w:after="0"/>
        <w:rPr>
          <w:sz w:val="24"/>
          <w:szCs w:val="24"/>
        </w:rPr>
      </w:pPr>
    </w:p>
    <w:p w:rsidR="002271E6" w:rsidRPr="0046372D" w:rsidRDefault="002271E6" w:rsidP="00C04B3E">
      <w:pPr>
        <w:spacing w:after="0"/>
        <w:rPr>
          <w:sz w:val="24"/>
          <w:szCs w:val="24"/>
        </w:rPr>
      </w:pPr>
    </w:p>
    <w:p w:rsidR="00E823F1" w:rsidRPr="0046372D" w:rsidRDefault="00C04B3E" w:rsidP="006412A8">
      <w:pPr>
        <w:spacing w:after="0"/>
        <w:jc w:val="center"/>
        <w:rPr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46372D">
        <w:rPr>
          <w:rFonts w:ascii="Century Gothic" w:hAnsi="Century Gothic"/>
          <w:b/>
          <w:sz w:val="24"/>
          <w:szCs w:val="24"/>
        </w:rPr>
        <w:t>AVELINO BRAVO CACHO</w:t>
      </w:r>
      <w:permEnd w:id="840568700"/>
    </w:p>
    <w:sectPr w:rsidR="00E823F1" w:rsidRPr="0046372D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A544F"/>
    <w:rsid w:val="000B024F"/>
    <w:rsid w:val="000B3924"/>
    <w:rsid w:val="000C65C5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1DE0"/>
    <w:rsid w:val="00192236"/>
    <w:rsid w:val="00197DA5"/>
    <w:rsid w:val="001B1F84"/>
    <w:rsid w:val="001B6DB8"/>
    <w:rsid w:val="001D4604"/>
    <w:rsid w:val="001E74FD"/>
    <w:rsid w:val="00200EC3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06F3"/>
    <w:rsid w:val="002C4126"/>
    <w:rsid w:val="002C6BA8"/>
    <w:rsid w:val="00300882"/>
    <w:rsid w:val="003016FC"/>
    <w:rsid w:val="00316DFC"/>
    <w:rsid w:val="00322CFC"/>
    <w:rsid w:val="00342023"/>
    <w:rsid w:val="00343475"/>
    <w:rsid w:val="003558B2"/>
    <w:rsid w:val="00360A2E"/>
    <w:rsid w:val="003622D5"/>
    <w:rsid w:val="00365EB5"/>
    <w:rsid w:val="00375CA1"/>
    <w:rsid w:val="003879F2"/>
    <w:rsid w:val="003A48C6"/>
    <w:rsid w:val="003C04C0"/>
    <w:rsid w:val="003E07EF"/>
    <w:rsid w:val="004109AA"/>
    <w:rsid w:val="004128C3"/>
    <w:rsid w:val="004145F7"/>
    <w:rsid w:val="00414F3E"/>
    <w:rsid w:val="0044403D"/>
    <w:rsid w:val="0046372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0E26"/>
    <w:rsid w:val="00527368"/>
    <w:rsid w:val="00534227"/>
    <w:rsid w:val="00553514"/>
    <w:rsid w:val="00573F42"/>
    <w:rsid w:val="00576C4D"/>
    <w:rsid w:val="0058027D"/>
    <w:rsid w:val="00587648"/>
    <w:rsid w:val="0059174C"/>
    <w:rsid w:val="005B1810"/>
    <w:rsid w:val="005B57D7"/>
    <w:rsid w:val="005C7239"/>
    <w:rsid w:val="006061FC"/>
    <w:rsid w:val="00613A45"/>
    <w:rsid w:val="00622F11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35464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A1DA6"/>
    <w:rsid w:val="008A669E"/>
    <w:rsid w:val="008C223C"/>
    <w:rsid w:val="008E3889"/>
    <w:rsid w:val="008F7A63"/>
    <w:rsid w:val="00900C21"/>
    <w:rsid w:val="00906B85"/>
    <w:rsid w:val="00935F7D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D3CCD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71FA5"/>
    <w:rsid w:val="00B80527"/>
    <w:rsid w:val="00B81C29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E1DD5"/>
    <w:rsid w:val="00D00CF2"/>
    <w:rsid w:val="00D025BD"/>
    <w:rsid w:val="00D203D4"/>
    <w:rsid w:val="00D20F98"/>
    <w:rsid w:val="00D300CB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91571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EEEC-3D40-450F-8FAD-14DBB365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2018-01-22T21:04:00Z</cp:lastPrinted>
  <dcterms:created xsi:type="dcterms:W3CDTF">2019-02-11T15:43:00Z</dcterms:created>
  <dcterms:modified xsi:type="dcterms:W3CDTF">2019-02-11T15:43:00Z</dcterms:modified>
</cp:coreProperties>
</file>